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46DC" w14:textId="77777777" w:rsidR="00C16C6D" w:rsidRPr="0021560F" w:rsidRDefault="00C16C6D" w:rsidP="00C16C6D">
      <w:pPr>
        <w:spacing w:line="240" w:lineRule="auto"/>
        <w:rPr>
          <w:rFonts w:ascii="Times New Roman" w:hAnsi="Times New Roman"/>
          <w:b/>
          <w:bCs/>
          <w:sz w:val="24"/>
          <w:szCs w:val="24"/>
        </w:rPr>
      </w:pPr>
      <w:r w:rsidRPr="0021560F">
        <w:rPr>
          <w:rFonts w:ascii="Times New Roman" w:hAnsi="Times New Roman"/>
          <w:b/>
          <w:bCs/>
          <w:sz w:val="24"/>
          <w:szCs w:val="24"/>
        </w:rPr>
        <w:t xml:space="preserve">SEXUAL MISCONDUCT POLICY AND REPORTING PROCEDURE- TITLE IX </w:t>
      </w:r>
    </w:p>
    <w:p w14:paraId="27D153EB" w14:textId="77777777" w:rsidR="00C16C6D" w:rsidRPr="0021560F" w:rsidRDefault="00C16C6D" w:rsidP="00C16C6D">
      <w:pPr>
        <w:spacing w:line="240" w:lineRule="auto"/>
        <w:rPr>
          <w:rFonts w:ascii="Times New Roman" w:hAnsi="Times New Roman"/>
          <w:b/>
          <w:bCs/>
          <w:sz w:val="24"/>
          <w:szCs w:val="24"/>
        </w:rPr>
      </w:pPr>
    </w:p>
    <w:p w14:paraId="248D2ABA" w14:textId="77777777" w:rsidR="00C16C6D" w:rsidRPr="0021560F" w:rsidRDefault="00C16C6D" w:rsidP="00C16C6D">
      <w:pPr>
        <w:spacing w:line="240" w:lineRule="auto"/>
        <w:rPr>
          <w:rFonts w:ascii="Times New Roman" w:hAnsi="Times New Roman"/>
          <w:b/>
          <w:bCs/>
          <w:sz w:val="24"/>
          <w:szCs w:val="24"/>
        </w:rPr>
      </w:pPr>
      <w:r w:rsidRPr="0021560F">
        <w:rPr>
          <w:rFonts w:ascii="Times New Roman" w:hAnsi="Times New Roman"/>
          <w:b/>
          <w:bCs/>
          <w:sz w:val="24"/>
          <w:szCs w:val="24"/>
        </w:rPr>
        <w:t>Falcon Institute of Health and Science’s TITLE IX Officer</w:t>
      </w:r>
    </w:p>
    <w:p w14:paraId="56ACD891" w14:textId="77777777" w:rsidR="00C16C6D" w:rsidRPr="0021560F" w:rsidRDefault="00C16C6D" w:rsidP="00C16C6D">
      <w:pPr>
        <w:spacing w:line="240" w:lineRule="auto"/>
        <w:rPr>
          <w:rFonts w:ascii="Times New Roman" w:hAnsi="Times New Roman"/>
          <w:sz w:val="24"/>
          <w:szCs w:val="24"/>
        </w:rPr>
      </w:pPr>
    </w:p>
    <w:p w14:paraId="3FFD18F4" w14:textId="77777777" w:rsidR="00C16C6D" w:rsidRPr="0021560F" w:rsidRDefault="00C16C6D" w:rsidP="00C16C6D">
      <w:pPr>
        <w:spacing w:line="240" w:lineRule="auto"/>
        <w:rPr>
          <w:rFonts w:ascii="Times New Roman" w:hAnsi="Times New Roman"/>
          <w:sz w:val="24"/>
          <w:szCs w:val="24"/>
        </w:rPr>
      </w:pPr>
      <w:r w:rsidRPr="0021560F">
        <w:rPr>
          <w:rFonts w:ascii="Times New Roman" w:hAnsi="Times New Roman"/>
          <w:sz w:val="24"/>
          <w:szCs w:val="24"/>
        </w:rPr>
        <w:t>Preet Chahal   President</w:t>
      </w:r>
    </w:p>
    <w:p w14:paraId="6BB32028" w14:textId="77777777" w:rsidR="00C16C6D" w:rsidRPr="0021560F" w:rsidRDefault="00C16C6D" w:rsidP="00C16C6D">
      <w:pPr>
        <w:spacing w:line="240" w:lineRule="auto"/>
        <w:rPr>
          <w:rFonts w:ascii="Times New Roman" w:hAnsi="Times New Roman"/>
          <w:sz w:val="24"/>
          <w:szCs w:val="24"/>
        </w:rPr>
      </w:pPr>
      <w:r w:rsidRPr="0021560F">
        <w:rPr>
          <w:rFonts w:ascii="Times New Roman" w:hAnsi="Times New Roman"/>
          <w:sz w:val="24"/>
          <w:szCs w:val="24"/>
        </w:rPr>
        <w:t>3045 Avenue B</w:t>
      </w:r>
    </w:p>
    <w:p w14:paraId="51E57E5D" w14:textId="77777777" w:rsidR="00C16C6D" w:rsidRPr="0021560F" w:rsidRDefault="00C16C6D" w:rsidP="00C16C6D">
      <w:pPr>
        <w:spacing w:line="240" w:lineRule="auto"/>
        <w:rPr>
          <w:rFonts w:ascii="Times New Roman" w:hAnsi="Times New Roman"/>
          <w:sz w:val="24"/>
          <w:szCs w:val="24"/>
        </w:rPr>
      </w:pPr>
      <w:r w:rsidRPr="0021560F">
        <w:rPr>
          <w:rFonts w:ascii="Times New Roman" w:hAnsi="Times New Roman"/>
          <w:sz w:val="24"/>
          <w:szCs w:val="24"/>
        </w:rPr>
        <w:t>Bethlehem, PA 18017</w:t>
      </w:r>
    </w:p>
    <w:p w14:paraId="6C2D9BE9" w14:textId="77777777" w:rsidR="00C16C6D" w:rsidRPr="0021560F" w:rsidRDefault="00C16C6D" w:rsidP="00C16C6D">
      <w:pPr>
        <w:spacing w:line="240" w:lineRule="auto"/>
        <w:rPr>
          <w:rFonts w:ascii="Times New Roman" w:hAnsi="Times New Roman"/>
          <w:sz w:val="24"/>
          <w:szCs w:val="24"/>
        </w:rPr>
      </w:pPr>
      <w:r w:rsidRPr="0021560F">
        <w:rPr>
          <w:rFonts w:ascii="Times New Roman" w:hAnsi="Times New Roman"/>
          <w:sz w:val="24"/>
          <w:szCs w:val="24"/>
        </w:rPr>
        <w:t>484-809-0698</w:t>
      </w:r>
    </w:p>
    <w:p w14:paraId="2CC32997" w14:textId="77777777" w:rsidR="00C16C6D" w:rsidRPr="0021560F" w:rsidRDefault="00C16C6D" w:rsidP="00C16C6D">
      <w:pPr>
        <w:spacing w:line="240" w:lineRule="auto"/>
        <w:rPr>
          <w:rFonts w:ascii="Times New Roman" w:hAnsi="Times New Roman"/>
          <w:b/>
          <w:bCs/>
          <w:sz w:val="24"/>
          <w:szCs w:val="24"/>
        </w:rPr>
      </w:pPr>
      <w:r w:rsidRPr="0021560F">
        <w:rPr>
          <w:rFonts w:ascii="Times New Roman" w:hAnsi="Times New Roman"/>
          <w:sz w:val="24"/>
          <w:szCs w:val="24"/>
        </w:rPr>
        <w:t>preet@falconihs.com</w:t>
      </w:r>
    </w:p>
    <w:p w14:paraId="090F2AB9" w14:textId="77777777" w:rsidR="00C16C6D" w:rsidRPr="0021560F" w:rsidRDefault="00C16C6D" w:rsidP="00C16C6D">
      <w:pPr>
        <w:spacing w:line="240" w:lineRule="auto"/>
        <w:rPr>
          <w:rFonts w:ascii="Times New Roman" w:hAnsi="Times New Roman"/>
          <w:sz w:val="24"/>
          <w:szCs w:val="24"/>
        </w:rPr>
      </w:pPr>
    </w:p>
    <w:p w14:paraId="25E6BC9F" w14:textId="77777777" w:rsidR="00C16C6D" w:rsidRPr="0021560F" w:rsidRDefault="00C16C6D" w:rsidP="00C16C6D">
      <w:pPr>
        <w:spacing w:line="240" w:lineRule="auto"/>
        <w:rPr>
          <w:rFonts w:ascii="Times New Roman" w:hAnsi="Times New Roman"/>
          <w:sz w:val="24"/>
          <w:szCs w:val="24"/>
        </w:rPr>
      </w:pPr>
      <w:r w:rsidRPr="0021560F">
        <w:rPr>
          <w:rFonts w:ascii="Times New Roman" w:hAnsi="Times New Roman"/>
          <w:sz w:val="24"/>
          <w:szCs w:val="24"/>
        </w:rPr>
        <w:t>Title IX of the Education Amendments of 1972 ("Title IX") protects people from discrimination based on sex in education programs or activities that receive Federal financial assistance. Title IX states:</w:t>
      </w:r>
    </w:p>
    <w:p w14:paraId="1FDEE932" w14:textId="2C5D6353" w:rsidR="00C16C6D" w:rsidRDefault="00C16C6D" w:rsidP="00C16C6D">
      <w:pPr>
        <w:spacing w:line="240" w:lineRule="auto"/>
        <w:ind w:left="720"/>
        <w:rPr>
          <w:rFonts w:ascii="Times New Roman" w:hAnsi="Times New Roman"/>
          <w:sz w:val="24"/>
          <w:szCs w:val="24"/>
        </w:rPr>
      </w:pPr>
      <w:r w:rsidRPr="0021560F">
        <w:rPr>
          <w:rFonts w:ascii="Times New Roman" w:hAnsi="Times New Roman"/>
          <w:sz w:val="24"/>
          <w:szCs w:val="24"/>
        </w:rPr>
        <w:t>No person in the United States shall, on the basis of sex, be excluded from participation in, be denied the benefits of, or be subjected to discrimination under any program or activity receiving Federal financial assistance.</w:t>
      </w:r>
    </w:p>
    <w:p w14:paraId="15B82F03" w14:textId="77777777" w:rsidR="00FF2449" w:rsidRPr="0021560F" w:rsidRDefault="00FF2449" w:rsidP="00C16C6D">
      <w:pPr>
        <w:spacing w:line="240" w:lineRule="auto"/>
        <w:ind w:left="720"/>
        <w:rPr>
          <w:rFonts w:ascii="Times New Roman" w:hAnsi="Times New Roman"/>
          <w:sz w:val="24"/>
          <w:szCs w:val="24"/>
        </w:rPr>
      </w:pPr>
    </w:p>
    <w:p w14:paraId="45A4D6F1" w14:textId="77777777" w:rsidR="00C16C6D" w:rsidRPr="0021560F" w:rsidRDefault="00C16C6D" w:rsidP="00C16C6D">
      <w:pPr>
        <w:spacing w:line="240" w:lineRule="auto"/>
        <w:rPr>
          <w:rFonts w:ascii="Times New Roman" w:hAnsi="Times New Roman"/>
          <w:sz w:val="24"/>
          <w:szCs w:val="24"/>
        </w:rPr>
      </w:pPr>
      <w:r w:rsidRPr="0021560F">
        <w:rPr>
          <w:rFonts w:ascii="Times New Roman" w:hAnsi="Times New Roman"/>
          <w:sz w:val="24"/>
          <w:szCs w:val="24"/>
        </w:rPr>
        <w:t>Falcon Institute of Health and Science not only complies with the letter of Title IX's requirements but also endorses the law's intent and spirit. The Institution is committed to compliance in all areas addressed by Title IX, including access to higher education, career education, math and science, standardized testing, athletics, education for pregnant and parenting students, learning environment, and technology, as well as sexual harassment.</w:t>
      </w:r>
    </w:p>
    <w:p w14:paraId="5FD6A2BB" w14:textId="77777777" w:rsidR="00C16C6D" w:rsidRPr="0021560F" w:rsidRDefault="00C16C6D" w:rsidP="00C16C6D">
      <w:pPr>
        <w:spacing w:line="240" w:lineRule="auto"/>
        <w:rPr>
          <w:rFonts w:ascii="Times New Roman" w:hAnsi="Times New Roman"/>
          <w:sz w:val="24"/>
          <w:szCs w:val="24"/>
        </w:rPr>
      </w:pPr>
      <w:r w:rsidRPr="0021560F">
        <w:rPr>
          <w:rFonts w:ascii="Times New Roman" w:hAnsi="Times New Roman"/>
          <w:sz w:val="24"/>
          <w:szCs w:val="24"/>
        </w:rPr>
        <w:t xml:space="preserve">The purpose of this policy is to ensure that the Institution's policies are applied and interpreted in ways consistent with Title IX and other applicable law.  </w:t>
      </w:r>
    </w:p>
    <w:p w14:paraId="482DCF34" w14:textId="77777777" w:rsidR="00C16C6D" w:rsidRPr="0021560F" w:rsidRDefault="00C16C6D" w:rsidP="00C16C6D">
      <w:pPr>
        <w:spacing w:line="240" w:lineRule="auto"/>
        <w:rPr>
          <w:rFonts w:ascii="Times New Roman" w:hAnsi="Times New Roman"/>
          <w:sz w:val="24"/>
          <w:szCs w:val="24"/>
        </w:rPr>
      </w:pPr>
      <w:r w:rsidRPr="0021560F">
        <w:rPr>
          <w:rFonts w:ascii="Times New Roman" w:hAnsi="Times New Roman"/>
          <w:sz w:val="24"/>
          <w:szCs w:val="24"/>
        </w:rPr>
        <w:t>It is the policy of the Institution to provide educational, preventative and training programs regarding sexual or gender-based harassment; to encourage reporting of incidents; to prevent incidents of sexual and gender-based harassment from denying or limiting an individual’s ability to participate in or benefit from the School’s programs; to make available timely services for those who have been affected by discrimination; and to provide prompt and equitable methods of investigation and resolution to stop discrimination, remedy any harm, and prevent its recurrence. Violations of this policy may result in the imposition of sanctions up to, and including, termination, dismissal, or expulsion, as determined by the appropriate officials at the School.</w:t>
      </w:r>
    </w:p>
    <w:p w14:paraId="2072CD9E" w14:textId="77777777" w:rsidR="00C16C6D" w:rsidRPr="0021560F" w:rsidRDefault="00C16C6D" w:rsidP="00C16C6D">
      <w:pPr>
        <w:spacing w:line="240" w:lineRule="auto"/>
        <w:rPr>
          <w:rFonts w:ascii="Times New Roman" w:hAnsi="Times New Roman"/>
          <w:sz w:val="24"/>
          <w:szCs w:val="24"/>
        </w:rPr>
      </w:pPr>
    </w:p>
    <w:p w14:paraId="6F46E410" w14:textId="77777777" w:rsidR="00C16C6D" w:rsidRPr="0021560F" w:rsidRDefault="00C16C6D" w:rsidP="00C16C6D">
      <w:pPr>
        <w:spacing w:line="240" w:lineRule="auto"/>
        <w:rPr>
          <w:rFonts w:ascii="Times New Roman" w:hAnsi="Times New Roman"/>
          <w:sz w:val="24"/>
          <w:szCs w:val="24"/>
        </w:rPr>
      </w:pPr>
      <w:r w:rsidRPr="0021560F">
        <w:rPr>
          <w:rFonts w:ascii="Times New Roman" w:hAnsi="Times New Roman"/>
          <w:b/>
          <w:sz w:val="24"/>
          <w:szCs w:val="24"/>
        </w:rPr>
        <w:t>D</w:t>
      </w:r>
      <w:r w:rsidRPr="0021560F">
        <w:rPr>
          <w:rFonts w:ascii="Times New Roman" w:hAnsi="Times New Roman"/>
          <w:b/>
          <w:bCs/>
          <w:sz w:val="24"/>
          <w:szCs w:val="24"/>
        </w:rPr>
        <w:t>iscrimination</w:t>
      </w:r>
    </w:p>
    <w:p w14:paraId="0DA82676" w14:textId="77777777" w:rsidR="00C16C6D" w:rsidRPr="0021560F" w:rsidRDefault="00C16C6D" w:rsidP="00C16C6D">
      <w:pPr>
        <w:spacing w:line="240" w:lineRule="auto"/>
        <w:rPr>
          <w:rFonts w:ascii="Times New Roman" w:hAnsi="Times New Roman"/>
          <w:sz w:val="24"/>
          <w:szCs w:val="24"/>
        </w:rPr>
      </w:pPr>
      <w:r w:rsidRPr="0021560F">
        <w:rPr>
          <w:rFonts w:ascii="Times New Roman" w:hAnsi="Times New Roman"/>
          <w:sz w:val="24"/>
          <w:szCs w:val="24"/>
        </w:rPr>
        <w:t xml:space="preserve">The Falcon Institute of Health and Science prohibits discrimination and harassment based on race, color, creed, religion, sex, gender, national origin, citizenship, ethnicity, marital status, age, disability, sexual orientation, gender identity and gender expression, genetic information, veteran status, or any other status protected by applicable law to the extent prohibited by law. </w:t>
      </w:r>
    </w:p>
    <w:p w14:paraId="06D83F08" w14:textId="77777777" w:rsidR="00C16C6D" w:rsidRPr="0021560F" w:rsidRDefault="00C16C6D" w:rsidP="00C16C6D">
      <w:pPr>
        <w:spacing w:line="240" w:lineRule="auto"/>
        <w:rPr>
          <w:rFonts w:ascii="Times New Roman" w:hAnsi="Times New Roman"/>
          <w:b/>
          <w:bCs/>
          <w:sz w:val="24"/>
          <w:szCs w:val="24"/>
        </w:rPr>
      </w:pPr>
    </w:p>
    <w:p w14:paraId="30F6D84B" w14:textId="77777777" w:rsidR="00C16C6D" w:rsidRPr="0021560F" w:rsidRDefault="00C16C6D" w:rsidP="00C16C6D">
      <w:pPr>
        <w:spacing w:line="240" w:lineRule="auto"/>
        <w:rPr>
          <w:rFonts w:ascii="Times New Roman" w:hAnsi="Times New Roman"/>
          <w:sz w:val="24"/>
          <w:szCs w:val="24"/>
        </w:rPr>
      </w:pPr>
      <w:r w:rsidRPr="0021560F">
        <w:rPr>
          <w:rFonts w:ascii="Times New Roman" w:hAnsi="Times New Roman"/>
          <w:b/>
          <w:bCs/>
          <w:sz w:val="24"/>
          <w:szCs w:val="24"/>
        </w:rPr>
        <w:t>Sexual Harassment</w:t>
      </w:r>
    </w:p>
    <w:p w14:paraId="4C69C6B2" w14:textId="77777777" w:rsidR="00FF2449" w:rsidRDefault="00C16C6D" w:rsidP="00C16C6D">
      <w:pPr>
        <w:spacing w:line="240" w:lineRule="auto"/>
        <w:rPr>
          <w:rFonts w:ascii="Times New Roman" w:hAnsi="Times New Roman"/>
          <w:sz w:val="24"/>
          <w:szCs w:val="24"/>
        </w:rPr>
      </w:pPr>
      <w:r w:rsidRPr="0021560F">
        <w:rPr>
          <w:rFonts w:ascii="Times New Roman" w:hAnsi="Times New Roman"/>
          <w:sz w:val="24"/>
          <w:szCs w:val="24"/>
        </w:rPr>
        <w:t xml:space="preserve">The Falcon Institute of Health and Science defines sexual harassment as unwelcome behavior of a sexual nature that relates to the gender or sexual identity of an individual and that has the purpose or effect of creating an intimidating, offensive or hostile environment for study.  This policy applies to all interactions between students and Falcon Institute of Health and Science’s faculty members and other faculty, staff, and administrative personnel, and other students.  </w:t>
      </w:r>
    </w:p>
    <w:p w14:paraId="3C6C12DE" w14:textId="48219BFB" w:rsidR="00C16C6D" w:rsidRPr="0021560F" w:rsidRDefault="00C16C6D" w:rsidP="00C16C6D">
      <w:pPr>
        <w:spacing w:line="240" w:lineRule="auto"/>
        <w:rPr>
          <w:rFonts w:ascii="Times New Roman" w:hAnsi="Times New Roman"/>
          <w:sz w:val="24"/>
          <w:szCs w:val="24"/>
        </w:rPr>
      </w:pPr>
      <w:r w:rsidRPr="0021560F">
        <w:rPr>
          <w:rFonts w:ascii="Times New Roman" w:hAnsi="Times New Roman"/>
          <w:sz w:val="24"/>
          <w:szCs w:val="24"/>
        </w:rPr>
        <w:lastRenderedPageBreak/>
        <w:t xml:space="preserve">Conduct alleged to be sexual harassment will be evaluated by considering the totality of the particular circumstances, including the nature, frequency, intensity, location, context, and duration of the questioned behavior. Repeated incidents or a pattern of harassing behavior may be cause for serious corrective action. However, a more serious incident, even if isolated, may be sufficient cause for action under this policy including referral to law enforcement when applicable. </w:t>
      </w:r>
    </w:p>
    <w:p w14:paraId="191C9023" w14:textId="77777777" w:rsidR="00C16C6D" w:rsidRPr="0021560F" w:rsidRDefault="00C16C6D" w:rsidP="00C16C6D">
      <w:pPr>
        <w:spacing w:line="240" w:lineRule="auto"/>
        <w:rPr>
          <w:rFonts w:ascii="Times New Roman" w:hAnsi="Times New Roman"/>
          <w:sz w:val="24"/>
          <w:szCs w:val="24"/>
        </w:rPr>
      </w:pPr>
    </w:p>
    <w:p w14:paraId="77D25F1C" w14:textId="77777777" w:rsidR="00C16C6D" w:rsidRPr="0021560F" w:rsidRDefault="00C16C6D" w:rsidP="00C16C6D">
      <w:pPr>
        <w:spacing w:line="240" w:lineRule="auto"/>
        <w:rPr>
          <w:rFonts w:ascii="Times New Roman" w:hAnsi="Times New Roman"/>
          <w:sz w:val="24"/>
          <w:szCs w:val="24"/>
        </w:rPr>
      </w:pPr>
      <w:r w:rsidRPr="0021560F">
        <w:rPr>
          <w:rFonts w:ascii="Times New Roman" w:hAnsi="Times New Roman"/>
          <w:sz w:val="24"/>
          <w:szCs w:val="24"/>
        </w:rPr>
        <w:t xml:space="preserve">Quid pro quo sexual harassment can occur whether a person resists and suffers the threatened harm, or the person submits and avoids the threatened harm. Both situations could constitute discrimination on the basis of sex. A hostile environment can be created by persistent or pervasive conduct or by a single severe episode.  The more severe the conduct, the less need there is to show a repetitive series of incidents to prove a hostile environment. Sexual violence, including rape, sexual assault, and domestic and dating violence, is a form of sexual harassment. In addition, the following conduct may violate this policy: </w:t>
      </w:r>
    </w:p>
    <w:p w14:paraId="5C97B18D" w14:textId="77777777" w:rsidR="00C16C6D" w:rsidRPr="0021560F" w:rsidRDefault="00C16C6D" w:rsidP="00C16C6D">
      <w:pPr>
        <w:spacing w:line="240" w:lineRule="auto"/>
        <w:rPr>
          <w:rFonts w:ascii="Times New Roman" w:hAnsi="Times New Roman"/>
          <w:sz w:val="24"/>
          <w:szCs w:val="24"/>
        </w:rPr>
      </w:pPr>
    </w:p>
    <w:p w14:paraId="42835C25" w14:textId="77777777" w:rsidR="00C16C6D" w:rsidRPr="0021560F" w:rsidRDefault="00C16C6D" w:rsidP="00C16C6D">
      <w:pPr>
        <w:numPr>
          <w:ilvl w:val="0"/>
          <w:numId w:val="8"/>
        </w:numPr>
        <w:spacing w:line="240" w:lineRule="auto"/>
        <w:rPr>
          <w:rFonts w:ascii="Times New Roman" w:hAnsi="Times New Roman"/>
          <w:sz w:val="24"/>
          <w:szCs w:val="24"/>
        </w:rPr>
      </w:pPr>
      <w:r w:rsidRPr="0021560F">
        <w:rPr>
          <w:rFonts w:ascii="Times New Roman" w:hAnsi="Times New Roman"/>
          <w:sz w:val="24"/>
          <w:szCs w:val="24"/>
        </w:rPr>
        <w:t>Observing, photographing, videotaping, or making other visual or auditory records of sexual activity or nudity, where there is a reasonable expectation of privacy, without the knowledge and consent of all parties.</w:t>
      </w:r>
    </w:p>
    <w:p w14:paraId="4472BCD3" w14:textId="77777777" w:rsidR="00C16C6D" w:rsidRPr="0021560F" w:rsidRDefault="00C16C6D" w:rsidP="00C16C6D">
      <w:pPr>
        <w:numPr>
          <w:ilvl w:val="0"/>
          <w:numId w:val="8"/>
        </w:numPr>
        <w:spacing w:line="240" w:lineRule="auto"/>
        <w:rPr>
          <w:rFonts w:ascii="Times New Roman" w:hAnsi="Times New Roman"/>
          <w:sz w:val="24"/>
          <w:szCs w:val="24"/>
        </w:rPr>
      </w:pPr>
      <w:r w:rsidRPr="0021560F">
        <w:rPr>
          <w:rFonts w:ascii="Times New Roman" w:hAnsi="Times New Roman"/>
          <w:sz w:val="24"/>
          <w:szCs w:val="24"/>
        </w:rPr>
        <w:t>Sharing visual or auditory records of sexual activity or nudity without the knowledge and consent of all recorded parties and recipients.</w:t>
      </w:r>
    </w:p>
    <w:p w14:paraId="00C2CC23" w14:textId="77777777" w:rsidR="00C16C6D" w:rsidRPr="0021560F" w:rsidRDefault="00C16C6D" w:rsidP="00C16C6D">
      <w:pPr>
        <w:numPr>
          <w:ilvl w:val="0"/>
          <w:numId w:val="8"/>
        </w:numPr>
        <w:spacing w:line="240" w:lineRule="auto"/>
        <w:rPr>
          <w:rFonts w:ascii="Times New Roman" w:hAnsi="Times New Roman"/>
          <w:sz w:val="24"/>
          <w:szCs w:val="24"/>
        </w:rPr>
      </w:pPr>
      <w:r w:rsidRPr="0021560F">
        <w:rPr>
          <w:rFonts w:ascii="Times New Roman" w:hAnsi="Times New Roman"/>
          <w:sz w:val="24"/>
          <w:szCs w:val="24"/>
        </w:rPr>
        <w:t>Sexual advances, whether or not they involve physical touching.</w:t>
      </w:r>
    </w:p>
    <w:p w14:paraId="4C1E1A41" w14:textId="77777777" w:rsidR="00C16C6D" w:rsidRPr="0021560F" w:rsidRDefault="00C16C6D" w:rsidP="00C16C6D">
      <w:pPr>
        <w:numPr>
          <w:ilvl w:val="0"/>
          <w:numId w:val="8"/>
        </w:numPr>
        <w:spacing w:line="240" w:lineRule="auto"/>
        <w:rPr>
          <w:rFonts w:ascii="Times New Roman" w:hAnsi="Times New Roman"/>
          <w:sz w:val="24"/>
          <w:szCs w:val="24"/>
        </w:rPr>
      </w:pPr>
      <w:r w:rsidRPr="0021560F">
        <w:rPr>
          <w:rFonts w:ascii="Times New Roman" w:hAnsi="Times New Roman"/>
          <w:sz w:val="24"/>
          <w:szCs w:val="24"/>
        </w:rPr>
        <w:t>Commenting about or inappropriately touching an individual’s body.</w:t>
      </w:r>
    </w:p>
    <w:p w14:paraId="39E20AA7" w14:textId="77777777" w:rsidR="00C16C6D" w:rsidRPr="0021560F" w:rsidRDefault="00C16C6D" w:rsidP="00C16C6D">
      <w:pPr>
        <w:numPr>
          <w:ilvl w:val="0"/>
          <w:numId w:val="8"/>
        </w:numPr>
        <w:spacing w:line="240" w:lineRule="auto"/>
        <w:rPr>
          <w:rFonts w:ascii="Times New Roman" w:hAnsi="Times New Roman"/>
          <w:sz w:val="24"/>
          <w:szCs w:val="24"/>
        </w:rPr>
      </w:pPr>
      <w:r w:rsidRPr="0021560F">
        <w:rPr>
          <w:rFonts w:ascii="Times New Roman" w:hAnsi="Times New Roman"/>
          <w:sz w:val="24"/>
          <w:szCs w:val="24"/>
        </w:rPr>
        <w:t>Requests for sexual favors in exchange for actual or promised job benefits, such as favorable reviews, salary increases, promotions, increased benefits, or continued employment.</w:t>
      </w:r>
    </w:p>
    <w:p w14:paraId="2FBF8235" w14:textId="77777777" w:rsidR="00C16C6D" w:rsidRPr="0021560F" w:rsidRDefault="00C16C6D" w:rsidP="00C16C6D">
      <w:pPr>
        <w:numPr>
          <w:ilvl w:val="0"/>
          <w:numId w:val="8"/>
        </w:numPr>
        <w:spacing w:line="240" w:lineRule="auto"/>
        <w:rPr>
          <w:rFonts w:ascii="Times New Roman" w:hAnsi="Times New Roman"/>
          <w:sz w:val="24"/>
          <w:szCs w:val="24"/>
        </w:rPr>
      </w:pPr>
      <w:r w:rsidRPr="0021560F">
        <w:rPr>
          <w:rFonts w:ascii="Times New Roman" w:hAnsi="Times New Roman"/>
          <w:sz w:val="24"/>
          <w:szCs w:val="24"/>
        </w:rPr>
        <w:t>Lewd or sexually suggestive comments, jokes, innuendoes, or gestures.</w:t>
      </w:r>
    </w:p>
    <w:p w14:paraId="60F3076A" w14:textId="77777777" w:rsidR="00C16C6D" w:rsidRPr="0021560F" w:rsidRDefault="00C16C6D" w:rsidP="00C16C6D">
      <w:pPr>
        <w:numPr>
          <w:ilvl w:val="0"/>
          <w:numId w:val="8"/>
        </w:numPr>
        <w:spacing w:line="240" w:lineRule="auto"/>
        <w:rPr>
          <w:rFonts w:ascii="Times New Roman" w:hAnsi="Times New Roman"/>
          <w:sz w:val="24"/>
          <w:szCs w:val="24"/>
        </w:rPr>
      </w:pPr>
      <w:r w:rsidRPr="0021560F">
        <w:rPr>
          <w:rFonts w:ascii="Times New Roman" w:hAnsi="Times New Roman"/>
          <w:sz w:val="24"/>
          <w:szCs w:val="24"/>
        </w:rPr>
        <w:t>Stalking</w:t>
      </w:r>
    </w:p>
    <w:p w14:paraId="66705761" w14:textId="77777777" w:rsidR="00C16C6D" w:rsidRPr="0021560F" w:rsidRDefault="00C16C6D" w:rsidP="00C16C6D">
      <w:pPr>
        <w:spacing w:line="240" w:lineRule="auto"/>
        <w:ind w:left="360"/>
        <w:rPr>
          <w:rFonts w:ascii="Times New Roman" w:hAnsi="Times New Roman"/>
          <w:sz w:val="24"/>
          <w:szCs w:val="24"/>
        </w:rPr>
      </w:pPr>
    </w:p>
    <w:p w14:paraId="7ED51753" w14:textId="77777777" w:rsidR="00C16C6D" w:rsidRPr="0021560F" w:rsidRDefault="00C16C6D" w:rsidP="00C16C6D">
      <w:pPr>
        <w:spacing w:line="240" w:lineRule="auto"/>
        <w:rPr>
          <w:rFonts w:ascii="Times New Roman" w:hAnsi="Times New Roman"/>
          <w:sz w:val="24"/>
          <w:szCs w:val="24"/>
        </w:rPr>
      </w:pPr>
      <w:r w:rsidRPr="0021560F">
        <w:rPr>
          <w:rFonts w:ascii="Times New Roman" w:hAnsi="Times New Roman"/>
          <w:sz w:val="24"/>
          <w:szCs w:val="24"/>
        </w:rPr>
        <w:t xml:space="preserve">Other verbal, nonverbal, graphic, or physical conduct may create a hostile environment if the conduct is sufficiently persistent, pervasive, or severe so as to deny a person equal access to the School’s programs or activities. Whether the conduct creates a hostile environment may depend on a variety of factors, including: the degree to which the conduct affected one or more person’s education or employment; the type, frequency, and duration of the conduct; the relationship between the parties; the number of people involved; and the context in which the conduct occurred. </w:t>
      </w:r>
    </w:p>
    <w:p w14:paraId="4FECCB5B" w14:textId="77777777" w:rsidR="00C16C6D" w:rsidRPr="0021560F" w:rsidRDefault="00C16C6D" w:rsidP="00C16C6D">
      <w:pPr>
        <w:spacing w:line="240" w:lineRule="auto"/>
        <w:rPr>
          <w:rFonts w:ascii="Times New Roman" w:hAnsi="Times New Roman"/>
          <w:sz w:val="24"/>
          <w:szCs w:val="24"/>
        </w:rPr>
      </w:pPr>
    </w:p>
    <w:p w14:paraId="4A4233CE" w14:textId="77777777" w:rsidR="00C16C6D" w:rsidRPr="0021560F" w:rsidRDefault="00C16C6D" w:rsidP="00C16C6D">
      <w:pPr>
        <w:spacing w:line="240" w:lineRule="auto"/>
        <w:rPr>
          <w:rFonts w:ascii="Times New Roman" w:hAnsi="Times New Roman"/>
          <w:b/>
          <w:sz w:val="24"/>
          <w:szCs w:val="24"/>
        </w:rPr>
      </w:pPr>
      <w:r w:rsidRPr="0021560F">
        <w:rPr>
          <w:rFonts w:ascii="Times New Roman" w:hAnsi="Times New Roman"/>
          <w:b/>
          <w:sz w:val="24"/>
          <w:szCs w:val="24"/>
        </w:rPr>
        <w:t xml:space="preserve">Unwelcome Conduct </w:t>
      </w:r>
    </w:p>
    <w:p w14:paraId="68CA4631" w14:textId="77777777" w:rsidR="00C16C6D" w:rsidRPr="0021560F" w:rsidRDefault="00C16C6D" w:rsidP="00C16C6D">
      <w:pPr>
        <w:spacing w:line="240" w:lineRule="auto"/>
        <w:rPr>
          <w:rFonts w:ascii="Times New Roman" w:hAnsi="Times New Roman"/>
          <w:b/>
          <w:sz w:val="24"/>
          <w:szCs w:val="24"/>
        </w:rPr>
      </w:pPr>
    </w:p>
    <w:p w14:paraId="32F3B645" w14:textId="77777777" w:rsidR="00C16C6D" w:rsidRPr="0021560F" w:rsidRDefault="00C16C6D" w:rsidP="00C16C6D">
      <w:pPr>
        <w:spacing w:line="240" w:lineRule="auto"/>
        <w:rPr>
          <w:rFonts w:ascii="Times New Roman" w:hAnsi="Times New Roman"/>
          <w:sz w:val="24"/>
          <w:szCs w:val="24"/>
        </w:rPr>
      </w:pPr>
      <w:r w:rsidRPr="0021560F">
        <w:rPr>
          <w:rFonts w:ascii="Times New Roman" w:hAnsi="Times New Roman"/>
          <w:sz w:val="24"/>
          <w:szCs w:val="24"/>
        </w:rPr>
        <w:t xml:space="preserve">Conduct is unwelcome if a person (1) did not request or invite it and (2) regarded the unrequested or uninvited conduct as undesirable or offensive. That a person welcomes some sexual contact does not necessarily mean that person welcomes other sexual contact. Similarly, that a person willingly participates in conduct on one occasion does not necessarily mean that the same conduct is welcome on a subsequent occasion. </w:t>
      </w:r>
    </w:p>
    <w:p w14:paraId="4AA44131" w14:textId="77777777" w:rsidR="00C16C6D" w:rsidRPr="0021560F" w:rsidRDefault="00C16C6D" w:rsidP="00C16C6D">
      <w:pPr>
        <w:spacing w:line="240" w:lineRule="auto"/>
        <w:rPr>
          <w:rFonts w:ascii="Times New Roman" w:hAnsi="Times New Roman"/>
          <w:sz w:val="24"/>
          <w:szCs w:val="24"/>
        </w:rPr>
      </w:pPr>
      <w:r w:rsidRPr="0021560F">
        <w:rPr>
          <w:rFonts w:ascii="Times New Roman" w:hAnsi="Times New Roman"/>
          <w:sz w:val="24"/>
          <w:szCs w:val="24"/>
        </w:rPr>
        <w:t xml:space="preserve">Whether conduct is unwelcome is determined based on the totality of the circumstances, including various objective and subjective factors. The following types of information may be helpful in making that determination: statements by any witnesses to the alleged incident; </w:t>
      </w:r>
      <w:r w:rsidRPr="0021560F">
        <w:rPr>
          <w:rFonts w:ascii="Times New Roman" w:hAnsi="Times New Roman"/>
          <w:sz w:val="24"/>
          <w:szCs w:val="24"/>
        </w:rPr>
        <w:lastRenderedPageBreak/>
        <w:t xml:space="preserve">information about the relative credibility of the parties and witnesses; the detail and consistency of each person’s account; the absence of corroborating information where it should logically exist; information that the Respondent has been found to have harassed others; information that the Complainant has been found to have made false allegations against others; information about the Complainant’s reaction or behavior after the alleged incident; and information about any actions the parties took immediately following the incident, including reporting the matter to others. </w:t>
      </w:r>
    </w:p>
    <w:p w14:paraId="1A65E39F" w14:textId="77777777" w:rsidR="00C16C6D" w:rsidRPr="0021560F" w:rsidRDefault="00C16C6D" w:rsidP="00C16C6D">
      <w:pPr>
        <w:spacing w:line="240" w:lineRule="auto"/>
        <w:rPr>
          <w:rFonts w:ascii="Times New Roman" w:hAnsi="Times New Roman"/>
          <w:sz w:val="24"/>
          <w:szCs w:val="24"/>
        </w:rPr>
      </w:pPr>
    </w:p>
    <w:p w14:paraId="51DA170A" w14:textId="77777777" w:rsidR="00C16C6D" w:rsidRPr="0021560F" w:rsidRDefault="00C16C6D" w:rsidP="00C16C6D">
      <w:pPr>
        <w:spacing w:line="240" w:lineRule="auto"/>
        <w:rPr>
          <w:rFonts w:ascii="Times New Roman" w:hAnsi="Times New Roman"/>
          <w:sz w:val="24"/>
          <w:szCs w:val="24"/>
        </w:rPr>
      </w:pPr>
      <w:r w:rsidRPr="0021560F">
        <w:rPr>
          <w:rFonts w:ascii="Times New Roman" w:hAnsi="Times New Roman"/>
          <w:sz w:val="24"/>
          <w:szCs w:val="24"/>
        </w:rPr>
        <w:t xml:space="preserve"> In addition, when a person is so impaired or incapacitated as to be incapable of requesting or inviting the conduct, conduct of a sexual nature is deemed unwelcome, provided that the Respondent knew or reasonably should have known of the person’s impairment or incapacity. The person may be impaired or incapacitated as a result of drugs or alcohol or for some other reason, such as sleep or unconsciousness. A Respondent’s impairment at the time of the incident as a result of drugs or alcohol does not, however, diminish the Respondent’s responsibility for sexual or gender-based harassment under this policy. </w:t>
      </w:r>
    </w:p>
    <w:p w14:paraId="36B2B107" w14:textId="77777777" w:rsidR="00C16C6D" w:rsidRPr="0021560F" w:rsidRDefault="00C16C6D" w:rsidP="00C16C6D">
      <w:pPr>
        <w:spacing w:line="240" w:lineRule="auto"/>
        <w:rPr>
          <w:rFonts w:ascii="Times New Roman" w:hAnsi="Times New Roman"/>
          <w:sz w:val="24"/>
          <w:szCs w:val="24"/>
        </w:rPr>
      </w:pPr>
    </w:p>
    <w:p w14:paraId="003E1D95" w14:textId="77777777" w:rsidR="00C16C6D" w:rsidRPr="0021560F" w:rsidRDefault="00C16C6D" w:rsidP="00C16C6D">
      <w:pPr>
        <w:spacing w:line="240" w:lineRule="auto"/>
        <w:rPr>
          <w:rFonts w:ascii="Times New Roman" w:hAnsi="Times New Roman"/>
          <w:b/>
          <w:sz w:val="24"/>
          <w:szCs w:val="24"/>
        </w:rPr>
      </w:pPr>
      <w:r w:rsidRPr="0021560F">
        <w:rPr>
          <w:rFonts w:ascii="Times New Roman" w:hAnsi="Times New Roman"/>
          <w:b/>
          <w:sz w:val="24"/>
          <w:szCs w:val="24"/>
        </w:rPr>
        <w:t xml:space="preserve">Gender-Based Harassment </w:t>
      </w:r>
    </w:p>
    <w:p w14:paraId="6A018DE8" w14:textId="77777777" w:rsidR="00C16C6D" w:rsidRPr="0021560F" w:rsidRDefault="00C16C6D" w:rsidP="00C16C6D">
      <w:pPr>
        <w:spacing w:line="240" w:lineRule="auto"/>
        <w:rPr>
          <w:rFonts w:ascii="Times New Roman" w:hAnsi="Times New Roman"/>
          <w:b/>
          <w:sz w:val="24"/>
          <w:szCs w:val="24"/>
        </w:rPr>
      </w:pPr>
    </w:p>
    <w:p w14:paraId="58ADE0A3" w14:textId="77777777" w:rsidR="00C16C6D" w:rsidRPr="0021560F" w:rsidRDefault="00C16C6D" w:rsidP="00C16C6D">
      <w:pPr>
        <w:spacing w:line="240" w:lineRule="auto"/>
        <w:rPr>
          <w:rFonts w:ascii="Times New Roman" w:hAnsi="Times New Roman"/>
          <w:sz w:val="24"/>
          <w:szCs w:val="24"/>
        </w:rPr>
      </w:pPr>
      <w:r w:rsidRPr="0021560F">
        <w:rPr>
          <w:rFonts w:ascii="Times New Roman" w:hAnsi="Times New Roman"/>
          <w:sz w:val="24"/>
          <w:szCs w:val="24"/>
        </w:rPr>
        <w:t xml:space="preserve">Gender-based harassment is verbal, nonverbal, graphic, or physical aggression, intimidation, or hostile conduct based on sex, sex-stereotyping, sexual orientation or gender identity, but not involving conduct of a sexual nature, when such conduct is sufficiently severe, persistent, or pervasive that it interferes with or limits a person’s ability to participate in or benefit from the School’s education or work programs or activities. For example, persistent disparagement of a person based on a perceived lack of stereotypical masculinity or femininity or exclusion from an activity based on sexual orientation or gender identity also may violate this policy. </w:t>
      </w:r>
    </w:p>
    <w:p w14:paraId="218FAFE6" w14:textId="77777777" w:rsidR="00C16C6D" w:rsidRPr="0021560F" w:rsidRDefault="00C16C6D" w:rsidP="00C16C6D">
      <w:pPr>
        <w:spacing w:line="240" w:lineRule="auto"/>
        <w:rPr>
          <w:rFonts w:ascii="Times New Roman" w:hAnsi="Times New Roman"/>
          <w:sz w:val="24"/>
          <w:szCs w:val="24"/>
        </w:rPr>
      </w:pPr>
    </w:p>
    <w:p w14:paraId="205BC680" w14:textId="77777777" w:rsidR="00C16C6D" w:rsidRPr="0021560F" w:rsidRDefault="00C16C6D" w:rsidP="00C16C6D">
      <w:pPr>
        <w:spacing w:line="240" w:lineRule="auto"/>
        <w:rPr>
          <w:rFonts w:ascii="Times New Roman" w:hAnsi="Times New Roman"/>
          <w:b/>
          <w:bCs/>
          <w:color w:val="000000" w:themeColor="text1"/>
          <w:sz w:val="24"/>
          <w:szCs w:val="24"/>
          <w:shd w:val="clear" w:color="auto" w:fill="FFFFFF"/>
        </w:rPr>
      </w:pPr>
      <w:r w:rsidRPr="0021560F">
        <w:rPr>
          <w:rFonts w:ascii="Times New Roman" w:hAnsi="Times New Roman"/>
          <w:b/>
          <w:bCs/>
          <w:color w:val="000000" w:themeColor="text1"/>
          <w:sz w:val="24"/>
          <w:szCs w:val="24"/>
          <w:shd w:val="clear" w:color="auto" w:fill="FFFFFF"/>
        </w:rPr>
        <w:t xml:space="preserve">Reporting Title IX complaints to the School Procedure: </w:t>
      </w:r>
    </w:p>
    <w:p w14:paraId="7BDADBF6" w14:textId="77777777" w:rsidR="00C16C6D" w:rsidRPr="0021560F" w:rsidRDefault="00C16C6D" w:rsidP="00C16C6D">
      <w:pPr>
        <w:spacing w:line="240" w:lineRule="auto"/>
        <w:rPr>
          <w:rFonts w:ascii="Times New Roman" w:hAnsi="Times New Roman"/>
          <w:b/>
          <w:bCs/>
          <w:color w:val="000000" w:themeColor="text1"/>
          <w:sz w:val="24"/>
          <w:szCs w:val="24"/>
          <w:shd w:val="clear" w:color="auto" w:fill="FFFFFF"/>
        </w:rPr>
      </w:pPr>
    </w:p>
    <w:p w14:paraId="163566CE" w14:textId="77777777" w:rsidR="00C16C6D" w:rsidRPr="0021560F" w:rsidRDefault="00C16C6D" w:rsidP="00C16C6D">
      <w:pPr>
        <w:spacing w:line="240" w:lineRule="auto"/>
        <w:rPr>
          <w:rFonts w:ascii="Times New Roman" w:eastAsia="Times New Roman" w:hAnsi="Times New Roman"/>
          <w:color w:val="000000"/>
          <w:sz w:val="24"/>
          <w:szCs w:val="24"/>
          <w:shd w:val="clear" w:color="auto" w:fill="FFFFFF"/>
        </w:rPr>
      </w:pPr>
      <w:r w:rsidRPr="0021560F">
        <w:rPr>
          <w:rFonts w:ascii="Times New Roman" w:eastAsia="Times New Roman" w:hAnsi="Times New Roman"/>
          <w:color w:val="000000"/>
          <w:sz w:val="24"/>
          <w:szCs w:val="24"/>
          <w:shd w:val="clear" w:color="auto" w:fill="FFFFFF"/>
        </w:rPr>
        <w:t>Consistent with Supreme Court precedent and the text of title IX, the school will respond when:</w:t>
      </w:r>
    </w:p>
    <w:p w14:paraId="19B598D2" w14:textId="77777777" w:rsidR="00C16C6D" w:rsidRPr="0021560F" w:rsidRDefault="00C16C6D" w:rsidP="00C16C6D">
      <w:pPr>
        <w:pStyle w:val="ListParagraph"/>
        <w:numPr>
          <w:ilvl w:val="0"/>
          <w:numId w:val="9"/>
        </w:numPr>
        <w:spacing w:line="240" w:lineRule="auto"/>
        <w:rPr>
          <w:rFonts w:ascii="Times New Roman" w:eastAsia="Times New Roman" w:hAnsi="Times New Roman"/>
          <w:color w:val="000000"/>
          <w:sz w:val="24"/>
          <w:szCs w:val="24"/>
          <w:shd w:val="clear" w:color="auto" w:fill="FFFFFF"/>
        </w:rPr>
      </w:pPr>
      <w:r w:rsidRPr="0021560F">
        <w:rPr>
          <w:rFonts w:ascii="Times New Roman" w:eastAsia="Times New Roman" w:hAnsi="Times New Roman"/>
          <w:color w:val="000000"/>
          <w:sz w:val="24"/>
          <w:szCs w:val="24"/>
          <w:shd w:val="clear" w:color="auto" w:fill="FFFFFF"/>
        </w:rPr>
        <w:t>The school has actual knowledge of sexual harassment</w:t>
      </w:r>
    </w:p>
    <w:p w14:paraId="66B47BAA" w14:textId="77777777" w:rsidR="00C16C6D" w:rsidRPr="0021560F" w:rsidRDefault="00C16C6D" w:rsidP="00C16C6D">
      <w:pPr>
        <w:pStyle w:val="ListParagraph"/>
        <w:numPr>
          <w:ilvl w:val="0"/>
          <w:numId w:val="9"/>
        </w:numPr>
        <w:spacing w:line="240" w:lineRule="auto"/>
        <w:rPr>
          <w:rFonts w:ascii="Times New Roman" w:eastAsia="Times New Roman" w:hAnsi="Times New Roman"/>
          <w:color w:val="000000"/>
          <w:sz w:val="24"/>
          <w:szCs w:val="24"/>
          <w:shd w:val="clear" w:color="auto" w:fill="FFFFFF"/>
        </w:rPr>
      </w:pPr>
      <w:r w:rsidRPr="0021560F">
        <w:rPr>
          <w:rFonts w:ascii="Times New Roman" w:eastAsia="Times New Roman" w:hAnsi="Times New Roman"/>
          <w:color w:val="000000"/>
          <w:sz w:val="24"/>
          <w:szCs w:val="24"/>
          <w:shd w:val="clear" w:color="auto" w:fill="FFFFFF"/>
        </w:rPr>
        <w:t>That occurred within the school’s education program or activity</w:t>
      </w:r>
    </w:p>
    <w:p w14:paraId="34F91E9F" w14:textId="77777777" w:rsidR="00C16C6D" w:rsidRPr="0021560F" w:rsidRDefault="00C16C6D" w:rsidP="00C16C6D">
      <w:pPr>
        <w:pStyle w:val="ListParagraph"/>
        <w:numPr>
          <w:ilvl w:val="0"/>
          <w:numId w:val="9"/>
        </w:numPr>
        <w:spacing w:line="240" w:lineRule="auto"/>
        <w:rPr>
          <w:rFonts w:ascii="Times New Roman" w:eastAsia="Times New Roman" w:hAnsi="Times New Roman"/>
          <w:color w:val="000000"/>
          <w:sz w:val="24"/>
          <w:szCs w:val="24"/>
          <w:shd w:val="clear" w:color="auto" w:fill="FFFFFF"/>
        </w:rPr>
      </w:pPr>
      <w:r w:rsidRPr="0021560F">
        <w:rPr>
          <w:rFonts w:ascii="Times New Roman" w:eastAsia="Times New Roman" w:hAnsi="Times New Roman"/>
          <w:color w:val="000000"/>
          <w:sz w:val="24"/>
          <w:szCs w:val="24"/>
          <w:shd w:val="clear" w:color="auto" w:fill="FFFFFF"/>
        </w:rPr>
        <w:t>Against a person in the United States.</w:t>
      </w:r>
    </w:p>
    <w:p w14:paraId="541888E3" w14:textId="77777777" w:rsidR="00C16C6D" w:rsidRPr="0021560F" w:rsidRDefault="00C16C6D" w:rsidP="00C16C6D">
      <w:pPr>
        <w:pStyle w:val="ListParagraph"/>
        <w:spacing w:line="240" w:lineRule="auto"/>
        <w:rPr>
          <w:rFonts w:ascii="Times New Roman" w:eastAsia="Times New Roman" w:hAnsi="Times New Roman"/>
          <w:color w:val="000000"/>
          <w:sz w:val="24"/>
          <w:szCs w:val="24"/>
          <w:shd w:val="clear" w:color="auto" w:fill="FFFFFF"/>
        </w:rPr>
      </w:pPr>
    </w:p>
    <w:p w14:paraId="4C483F1C" w14:textId="6F554D57" w:rsidR="00C16C6D" w:rsidRPr="0021560F" w:rsidRDefault="00336AFD" w:rsidP="00C16C6D">
      <w:pPr>
        <w:pStyle w:val="ListParagraph"/>
        <w:spacing w:line="240" w:lineRule="auto"/>
        <w:ind w:left="0"/>
        <w:rPr>
          <w:rFonts w:ascii="Times New Roman" w:eastAsia="Times New Roman" w:hAnsi="Times New Roman"/>
          <w:color w:val="000000"/>
          <w:sz w:val="24"/>
          <w:szCs w:val="24"/>
          <w:shd w:val="clear" w:color="auto" w:fill="FFFFFF"/>
        </w:rPr>
      </w:pPr>
      <w:r w:rsidRPr="0021560F">
        <w:rPr>
          <w:rFonts w:ascii="Times New Roman" w:eastAsia="Times New Roman" w:hAnsi="Times New Roman"/>
          <w:color w:val="000000"/>
          <w:sz w:val="24"/>
          <w:szCs w:val="24"/>
          <w:shd w:val="clear" w:color="auto" w:fill="FFFFFF"/>
        </w:rPr>
        <w:t>The alleged victim or any third party may</w:t>
      </w:r>
      <w:r>
        <w:rPr>
          <w:rFonts w:ascii="Times New Roman" w:eastAsia="Times New Roman" w:hAnsi="Times New Roman"/>
          <w:color w:val="000000"/>
          <w:sz w:val="24"/>
          <w:szCs w:val="24"/>
          <w:shd w:val="clear" w:color="auto" w:fill="FFFFFF"/>
        </w:rPr>
        <w:t xml:space="preserve"> report anonymously online on school website or</w:t>
      </w:r>
      <w:r w:rsidRPr="0021560F">
        <w:rPr>
          <w:rFonts w:ascii="Times New Roman" w:eastAsia="Times New Roman" w:hAnsi="Times New Roman"/>
          <w:color w:val="000000"/>
          <w:sz w:val="24"/>
          <w:szCs w:val="24"/>
          <w:shd w:val="clear" w:color="auto" w:fill="FFFFFF"/>
        </w:rPr>
        <w:t xml:space="preserve"> report to the Title IX Coordinator, the Program Director, or the President of the </w:t>
      </w:r>
      <w:r w:rsidRPr="0021560F">
        <w:rPr>
          <w:rFonts w:ascii="Times New Roman" w:eastAsia="Times New Roman" w:hAnsi="Times New Roman"/>
          <w:color w:val="000000"/>
          <w:sz w:val="24"/>
          <w:szCs w:val="24"/>
          <w:shd w:val="clear" w:color="auto" w:fill="FFFFFF"/>
        </w:rPr>
        <w:t xml:space="preserve">school </w:t>
      </w:r>
      <w:r>
        <w:rPr>
          <w:rFonts w:ascii="Times New Roman" w:eastAsia="Times New Roman" w:hAnsi="Times New Roman"/>
          <w:color w:val="000000"/>
          <w:sz w:val="24"/>
          <w:szCs w:val="24"/>
          <w:shd w:val="clear" w:color="auto" w:fill="FFFFFF"/>
        </w:rPr>
        <w:t>in</w:t>
      </w:r>
      <w:r w:rsidRPr="0021560F">
        <w:rPr>
          <w:rFonts w:ascii="Times New Roman" w:eastAsia="Times New Roman" w:hAnsi="Times New Roman"/>
          <w:color w:val="000000"/>
          <w:sz w:val="24"/>
          <w:szCs w:val="24"/>
          <w:shd w:val="clear" w:color="auto" w:fill="FFFFFF"/>
        </w:rPr>
        <w:t xml:space="preserve"> person, by email, by phone or by mail.</w:t>
      </w:r>
      <w:r>
        <w:rPr>
          <w:rFonts w:ascii="Times New Roman" w:eastAsia="Times New Roman" w:hAnsi="Times New Roman"/>
          <w:color w:val="000000"/>
          <w:sz w:val="24"/>
          <w:szCs w:val="24"/>
          <w:shd w:val="clear" w:color="auto" w:fill="FFFFFF"/>
        </w:rPr>
        <w:t xml:space="preserve"> </w:t>
      </w:r>
      <w:r w:rsidR="00C16C6D" w:rsidRPr="0021560F">
        <w:rPr>
          <w:rFonts w:ascii="Times New Roman" w:eastAsia="Times New Roman" w:hAnsi="Times New Roman"/>
          <w:color w:val="000000"/>
          <w:sz w:val="24"/>
          <w:szCs w:val="24"/>
          <w:shd w:val="clear" w:color="auto" w:fill="FFFFFF"/>
        </w:rPr>
        <w:t>If the alleged victim or any third party is not able to locate or report to the Title IX Coordinator, the Program Director, or the President of the school, they may report to any employee of the school.</w:t>
      </w:r>
    </w:p>
    <w:p w14:paraId="0AA9FC6D" w14:textId="77777777" w:rsidR="00C16C6D" w:rsidRPr="0021560F" w:rsidRDefault="00C16C6D" w:rsidP="00C16C6D">
      <w:pPr>
        <w:pStyle w:val="ListParagraph"/>
        <w:spacing w:line="240" w:lineRule="auto"/>
        <w:ind w:left="0"/>
        <w:rPr>
          <w:rFonts w:ascii="Times New Roman" w:eastAsia="Times New Roman" w:hAnsi="Times New Roman"/>
          <w:color w:val="000000"/>
          <w:sz w:val="24"/>
          <w:szCs w:val="24"/>
          <w:shd w:val="clear" w:color="auto" w:fill="FFFFFF"/>
        </w:rPr>
      </w:pPr>
    </w:p>
    <w:p w14:paraId="3645A09D" w14:textId="77777777" w:rsidR="00C16C6D" w:rsidRPr="0021560F" w:rsidRDefault="00C16C6D" w:rsidP="00C16C6D">
      <w:pPr>
        <w:pStyle w:val="ListParagraph"/>
        <w:spacing w:line="240" w:lineRule="auto"/>
        <w:ind w:left="0"/>
        <w:rPr>
          <w:rFonts w:ascii="Times New Roman" w:eastAsia="Times New Roman" w:hAnsi="Times New Roman"/>
          <w:color w:val="000000"/>
          <w:sz w:val="24"/>
          <w:szCs w:val="24"/>
          <w:shd w:val="clear" w:color="auto" w:fill="FFFFFF"/>
        </w:rPr>
      </w:pPr>
      <w:r w:rsidRPr="0021560F">
        <w:rPr>
          <w:rFonts w:ascii="Times New Roman" w:eastAsia="Times New Roman" w:hAnsi="Times New Roman"/>
          <w:color w:val="000000"/>
          <w:sz w:val="24"/>
          <w:szCs w:val="24"/>
          <w:shd w:val="clear" w:color="auto" w:fill="FFFFFF"/>
        </w:rPr>
        <w:t>Title IX Coordinator</w:t>
      </w:r>
    </w:p>
    <w:p w14:paraId="282F77A9" w14:textId="77777777" w:rsidR="00C16C6D" w:rsidRPr="0021560F" w:rsidRDefault="00C16C6D" w:rsidP="00C16C6D">
      <w:pPr>
        <w:pStyle w:val="ListParagraph"/>
        <w:spacing w:line="240" w:lineRule="auto"/>
        <w:ind w:left="0"/>
        <w:rPr>
          <w:rFonts w:ascii="Times New Roman" w:eastAsia="Times New Roman" w:hAnsi="Times New Roman"/>
          <w:color w:val="000000"/>
          <w:sz w:val="24"/>
          <w:szCs w:val="24"/>
          <w:shd w:val="clear" w:color="auto" w:fill="FFFFFF"/>
        </w:rPr>
      </w:pPr>
      <w:r w:rsidRPr="0021560F">
        <w:rPr>
          <w:rFonts w:ascii="Times New Roman" w:eastAsia="Times New Roman" w:hAnsi="Times New Roman"/>
          <w:color w:val="000000"/>
          <w:sz w:val="24"/>
          <w:szCs w:val="24"/>
          <w:shd w:val="clear" w:color="auto" w:fill="FFFFFF"/>
        </w:rPr>
        <w:t>Preet Chahal President</w:t>
      </w:r>
    </w:p>
    <w:p w14:paraId="400E52F4" w14:textId="77777777" w:rsidR="00C16C6D" w:rsidRPr="0021560F" w:rsidRDefault="00C16C6D" w:rsidP="00C16C6D">
      <w:pPr>
        <w:pStyle w:val="ListParagraph"/>
        <w:spacing w:line="240" w:lineRule="auto"/>
        <w:ind w:left="0"/>
        <w:rPr>
          <w:rFonts w:ascii="Times New Roman" w:eastAsia="Times New Roman" w:hAnsi="Times New Roman"/>
          <w:color w:val="000000"/>
          <w:sz w:val="24"/>
          <w:szCs w:val="24"/>
          <w:shd w:val="clear" w:color="auto" w:fill="FFFFFF"/>
        </w:rPr>
      </w:pPr>
      <w:r w:rsidRPr="0021560F">
        <w:rPr>
          <w:rFonts w:ascii="Times New Roman" w:eastAsia="Times New Roman" w:hAnsi="Times New Roman"/>
          <w:color w:val="000000"/>
          <w:sz w:val="24"/>
          <w:szCs w:val="24"/>
          <w:shd w:val="clear" w:color="auto" w:fill="FFFFFF"/>
        </w:rPr>
        <w:t>3045 Avenue B Bethlehem PA 18017</w:t>
      </w:r>
    </w:p>
    <w:p w14:paraId="00913C34" w14:textId="77777777" w:rsidR="00C16C6D" w:rsidRPr="0021560F" w:rsidRDefault="00C16C6D" w:rsidP="00C16C6D">
      <w:pPr>
        <w:pStyle w:val="ListParagraph"/>
        <w:spacing w:line="240" w:lineRule="auto"/>
        <w:ind w:left="0"/>
        <w:rPr>
          <w:rFonts w:ascii="Times New Roman" w:eastAsia="Times New Roman" w:hAnsi="Times New Roman"/>
          <w:color w:val="000000"/>
          <w:sz w:val="24"/>
          <w:szCs w:val="24"/>
          <w:shd w:val="clear" w:color="auto" w:fill="FFFFFF"/>
        </w:rPr>
      </w:pPr>
      <w:r w:rsidRPr="0021560F">
        <w:rPr>
          <w:rFonts w:ascii="Times New Roman" w:eastAsia="Times New Roman" w:hAnsi="Times New Roman"/>
          <w:color w:val="000000"/>
          <w:sz w:val="24"/>
          <w:szCs w:val="24"/>
          <w:shd w:val="clear" w:color="auto" w:fill="FFFFFF"/>
        </w:rPr>
        <w:t>484-809-0698</w:t>
      </w:r>
    </w:p>
    <w:p w14:paraId="5EBF3709" w14:textId="368500AB" w:rsidR="00C16C6D" w:rsidRDefault="00000000" w:rsidP="00C16C6D">
      <w:pPr>
        <w:pStyle w:val="ListParagraph"/>
        <w:spacing w:line="240" w:lineRule="auto"/>
        <w:ind w:left="0"/>
        <w:rPr>
          <w:rStyle w:val="Hyperlink"/>
          <w:rFonts w:ascii="Times New Roman" w:eastAsia="Times New Roman" w:hAnsi="Times New Roman"/>
          <w:sz w:val="24"/>
          <w:szCs w:val="24"/>
          <w:shd w:val="clear" w:color="auto" w:fill="FFFFFF"/>
        </w:rPr>
      </w:pPr>
      <w:hyperlink r:id="rId5" w:history="1">
        <w:r w:rsidR="00C16C6D" w:rsidRPr="0021560F">
          <w:rPr>
            <w:rStyle w:val="Hyperlink"/>
            <w:rFonts w:ascii="Times New Roman" w:eastAsia="Times New Roman" w:hAnsi="Times New Roman"/>
            <w:sz w:val="24"/>
            <w:szCs w:val="24"/>
            <w:shd w:val="clear" w:color="auto" w:fill="FFFFFF"/>
          </w:rPr>
          <w:t>preet@falconihs.com</w:t>
        </w:r>
      </w:hyperlink>
    </w:p>
    <w:p w14:paraId="277776AA" w14:textId="77777777" w:rsidR="00336AFD" w:rsidRPr="0021560F" w:rsidRDefault="00336AFD" w:rsidP="00C16C6D">
      <w:pPr>
        <w:pStyle w:val="ListParagraph"/>
        <w:spacing w:line="240" w:lineRule="auto"/>
        <w:ind w:left="0"/>
        <w:rPr>
          <w:rStyle w:val="Hyperlink"/>
          <w:rFonts w:ascii="Times New Roman" w:eastAsia="Times New Roman" w:hAnsi="Times New Roman"/>
          <w:sz w:val="24"/>
          <w:szCs w:val="24"/>
          <w:shd w:val="clear" w:color="auto" w:fill="FFFFFF"/>
        </w:rPr>
      </w:pPr>
    </w:p>
    <w:p w14:paraId="68AF2B2F" w14:textId="77777777" w:rsidR="00C16C6D" w:rsidRPr="0021560F" w:rsidRDefault="00C16C6D" w:rsidP="00C16C6D">
      <w:pPr>
        <w:pStyle w:val="ListParagraph"/>
        <w:spacing w:line="240" w:lineRule="auto"/>
        <w:ind w:left="0"/>
        <w:rPr>
          <w:rStyle w:val="Hyperlink"/>
          <w:rFonts w:ascii="Times New Roman" w:eastAsia="Times New Roman" w:hAnsi="Times New Roman"/>
          <w:sz w:val="24"/>
          <w:szCs w:val="24"/>
          <w:shd w:val="clear" w:color="auto" w:fill="FFFFFF"/>
        </w:rPr>
      </w:pPr>
    </w:p>
    <w:p w14:paraId="2318AA5B" w14:textId="77777777" w:rsidR="00C16C6D" w:rsidRPr="0021560F" w:rsidRDefault="00C16C6D" w:rsidP="00C16C6D">
      <w:pPr>
        <w:pStyle w:val="ListParagraph"/>
        <w:spacing w:line="240" w:lineRule="auto"/>
        <w:ind w:left="0"/>
        <w:rPr>
          <w:rFonts w:ascii="Times New Roman" w:eastAsia="Times New Roman" w:hAnsi="Times New Roman"/>
          <w:color w:val="000000"/>
          <w:sz w:val="24"/>
          <w:szCs w:val="24"/>
          <w:shd w:val="clear" w:color="auto" w:fill="FFFFFF"/>
        </w:rPr>
      </w:pPr>
      <w:r w:rsidRPr="0021560F">
        <w:rPr>
          <w:rFonts w:ascii="Times New Roman" w:eastAsia="Times New Roman" w:hAnsi="Times New Roman"/>
          <w:color w:val="000000"/>
          <w:sz w:val="24"/>
          <w:szCs w:val="24"/>
          <w:shd w:val="clear" w:color="auto" w:fill="FFFFFF"/>
        </w:rPr>
        <w:lastRenderedPageBreak/>
        <w:t>Kassidy Lax    Program Director</w:t>
      </w:r>
    </w:p>
    <w:p w14:paraId="044C1757" w14:textId="77777777" w:rsidR="00C16C6D" w:rsidRPr="0021560F" w:rsidRDefault="00C16C6D" w:rsidP="00C16C6D">
      <w:pPr>
        <w:pStyle w:val="ListParagraph"/>
        <w:spacing w:line="240" w:lineRule="auto"/>
        <w:ind w:left="0"/>
        <w:rPr>
          <w:rFonts w:ascii="Times New Roman" w:eastAsia="Times New Roman" w:hAnsi="Times New Roman"/>
          <w:color w:val="000000"/>
          <w:sz w:val="24"/>
          <w:szCs w:val="24"/>
          <w:shd w:val="clear" w:color="auto" w:fill="FFFFFF"/>
        </w:rPr>
      </w:pPr>
      <w:r w:rsidRPr="0021560F">
        <w:rPr>
          <w:rFonts w:ascii="Times New Roman" w:eastAsia="Times New Roman" w:hAnsi="Times New Roman"/>
          <w:color w:val="000000"/>
          <w:sz w:val="24"/>
          <w:szCs w:val="24"/>
          <w:shd w:val="clear" w:color="auto" w:fill="FFFFFF"/>
        </w:rPr>
        <w:t>3045 Avenue B Bethlehem PA 18017</w:t>
      </w:r>
    </w:p>
    <w:p w14:paraId="76281382" w14:textId="77777777" w:rsidR="00C16C6D" w:rsidRPr="0021560F" w:rsidRDefault="00C16C6D" w:rsidP="00C16C6D">
      <w:pPr>
        <w:pStyle w:val="ListParagraph"/>
        <w:spacing w:line="240" w:lineRule="auto"/>
        <w:ind w:left="0"/>
        <w:rPr>
          <w:rFonts w:ascii="Times New Roman" w:eastAsia="Times New Roman" w:hAnsi="Times New Roman"/>
          <w:color w:val="000000"/>
          <w:sz w:val="24"/>
          <w:szCs w:val="24"/>
          <w:shd w:val="clear" w:color="auto" w:fill="FFFFFF"/>
        </w:rPr>
      </w:pPr>
      <w:r w:rsidRPr="0021560F">
        <w:rPr>
          <w:rFonts w:ascii="Times New Roman" w:eastAsia="Times New Roman" w:hAnsi="Times New Roman"/>
          <w:color w:val="000000"/>
          <w:sz w:val="24"/>
          <w:szCs w:val="24"/>
          <w:shd w:val="clear" w:color="auto" w:fill="FFFFFF"/>
        </w:rPr>
        <w:t>610-253-2527 x 405</w:t>
      </w:r>
    </w:p>
    <w:p w14:paraId="7A815730" w14:textId="77777777" w:rsidR="00C16C6D" w:rsidRPr="0021560F" w:rsidRDefault="00C16C6D" w:rsidP="00C16C6D">
      <w:pPr>
        <w:pStyle w:val="ListParagraph"/>
        <w:spacing w:line="240" w:lineRule="auto"/>
        <w:ind w:left="0"/>
        <w:rPr>
          <w:rFonts w:ascii="Times New Roman" w:eastAsia="Times New Roman" w:hAnsi="Times New Roman"/>
          <w:color w:val="000000"/>
          <w:sz w:val="24"/>
          <w:szCs w:val="24"/>
          <w:shd w:val="clear" w:color="auto" w:fill="FFFFFF"/>
        </w:rPr>
      </w:pPr>
      <w:r w:rsidRPr="0021560F">
        <w:rPr>
          <w:rFonts w:ascii="Times New Roman" w:eastAsia="Times New Roman" w:hAnsi="Times New Roman"/>
          <w:color w:val="000000"/>
          <w:sz w:val="24"/>
          <w:szCs w:val="24"/>
          <w:shd w:val="clear" w:color="auto" w:fill="FFFFFF"/>
        </w:rPr>
        <w:t>klax@falconihs.com</w:t>
      </w:r>
    </w:p>
    <w:p w14:paraId="4EFABB1B" w14:textId="77777777" w:rsidR="00C16C6D" w:rsidRPr="0021560F" w:rsidRDefault="00C16C6D" w:rsidP="00C16C6D">
      <w:pPr>
        <w:pStyle w:val="ListParagraph"/>
        <w:spacing w:line="240" w:lineRule="auto"/>
        <w:ind w:left="0"/>
        <w:rPr>
          <w:rFonts w:ascii="Times New Roman" w:eastAsia="Times New Roman" w:hAnsi="Times New Roman"/>
          <w:color w:val="000000"/>
          <w:sz w:val="24"/>
          <w:szCs w:val="24"/>
          <w:shd w:val="clear" w:color="auto" w:fill="FFFFFF"/>
        </w:rPr>
      </w:pPr>
    </w:p>
    <w:p w14:paraId="03E8DF97" w14:textId="77777777" w:rsidR="00C16C6D" w:rsidRPr="0021560F" w:rsidRDefault="00C16C6D" w:rsidP="00C16C6D">
      <w:pPr>
        <w:pStyle w:val="ListParagraph"/>
        <w:spacing w:line="240" w:lineRule="auto"/>
        <w:ind w:left="0"/>
        <w:rPr>
          <w:rFonts w:ascii="Times New Roman" w:eastAsia="Times New Roman" w:hAnsi="Times New Roman"/>
          <w:color w:val="000000"/>
          <w:sz w:val="24"/>
          <w:szCs w:val="24"/>
          <w:shd w:val="clear" w:color="auto" w:fill="FFFFFF"/>
        </w:rPr>
      </w:pPr>
      <w:r w:rsidRPr="0021560F">
        <w:rPr>
          <w:rFonts w:ascii="Times New Roman" w:eastAsia="Times New Roman" w:hAnsi="Times New Roman"/>
          <w:color w:val="000000"/>
          <w:sz w:val="24"/>
          <w:szCs w:val="24"/>
          <w:shd w:val="clear" w:color="auto" w:fill="FFFFFF"/>
        </w:rPr>
        <w:t xml:space="preserve">The US Department of Education’s Title IX Final Rule defines that, “actual knowledge” includes notice to any school employee and states that any person (e.g. the alleged victim or any third party) may report the complaint to a Title IX Coordinator in person or by email, phone, or mail. </w:t>
      </w:r>
    </w:p>
    <w:p w14:paraId="17D66319" w14:textId="77777777" w:rsidR="00C16C6D" w:rsidRPr="0021560F" w:rsidRDefault="00C16C6D" w:rsidP="00C16C6D">
      <w:pPr>
        <w:pStyle w:val="ListParagraph"/>
        <w:spacing w:line="240" w:lineRule="auto"/>
        <w:ind w:left="0"/>
        <w:rPr>
          <w:rFonts w:ascii="Times New Roman" w:eastAsia="Times New Roman" w:hAnsi="Times New Roman"/>
          <w:color w:val="000000"/>
          <w:sz w:val="24"/>
          <w:szCs w:val="24"/>
          <w:shd w:val="clear" w:color="auto" w:fill="FFFFFF"/>
        </w:rPr>
      </w:pPr>
      <w:r w:rsidRPr="0021560F">
        <w:rPr>
          <w:rFonts w:ascii="Times New Roman" w:eastAsia="Times New Roman" w:hAnsi="Times New Roman"/>
          <w:color w:val="000000"/>
          <w:sz w:val="24"/>
          <w:szCs w:val="24"/>
          <w:shd w:val="clear" w:color="auto" w:fill="FFFFFF"/>
        </w:rPr>
        <w:t>The Final Rule also specifies that a school’s “educational program or activity” includes situations over which the school exercised substantial control, and also buildings owned or controlled by student organizations officially recognized by a postsecondary institution such as many fraternity and sorority houses.</w:t>
      </w:r>
    </w:p>
    <w:p w14:paraId="16A47540" w14:textId="77777777" w:rsidR="00C16C6D" w:rsidRPr="0021560F" w:rsidRDefault="00C16C6D" w:rsidP="00C16C6D">
      <w:pPr>
        <w:pStyle w:val="ListParagraph"/>
        <w:spacing w:line="240" w:lineRule="auto"/>
        <w:ind w:left="0"/>
        <w:rPr>
          <w:rFonts w:ascii="Times New Roman" w:eastAsia="Times New Roman" w:hAnsi="Times New Roman"/>
          <w:color w:val="000000"/>
          <w:sz w:val="24"/>
          <w:szCs w:val="24"/>
          <w:shd w:val="clear" w:color="auto" w:fill="FFFFFF"/>
        </w:rPr>
      </w:pPr>
    </w:p>
    <w:p w14:paraId="3E32D072" w14:textId="77777777" w:rsidR="00C16C6D" w:rsidRPr="0021560F" w:rsidRDefault="00C16C6D" w:rsidP="00C16C6D">
      <w:pPr>
        <w:pStyle w:val="ListParagraph"/>
        <w:spacing w:line="240" w:lineRule="auto"/>
        <w:ind w:left="0"/>
        <w:rPr>
          <w:rFonts w:ascii="Times New Roman" w:eastAsia="Times New Roman" w:hAnsi="Times New Roman"/>
          <w:color w:val="000000"/>
          <w:sz w:val="24"/>
          <w:szCs w:val="24"/>
          <w:shd w:val="clear" w:color="auto" w:fill="FFFFFF"/>
        </w:rPr>
      </w:pPr>
      <w:r w:rsidRPr="0021560F">
        <w:rPr>
          <w:rFonts w:ascii="Times New Roman" w:eastAsia="Times New Roman" w:hAnsi="Times New Roman"/>
          <w:color w:val="000000"/>
          <w:sz w:val="24"/>
          <w:szCs w:val="24"/>
          <w:shd w:val="clear" w:color="auto" w:fill="FFFFFF"/>
        </w:rPr>
        <w:t xml:space="preserve">The school will offer supportive measures to every complainant with or without a formal complaint. The school will offer supportive measures to the complainant or respondent as appropriate as reasonably available, and without fee or charge before or after the filing of a formal complaint or where no formal complaint has been filed.  Section 106.30 defines supportive measures as non- disciplinary, non- punitive, and individualized services designed to restore or preserve access to the recipients education program or activity without unreasonably burdening the other party, including measures designed to protect the safety of all parties and the recipient’s educational environment or to deter sexual harassment. </w:t>
      </w:r>
    </w:p>
    <w:p w14:paraId="3E738818" w14:textId="77777777" w:rsidR="00C16C6D" w:rsidRPr="0021560F" w:rsidRDefault="00C16C6D" w:rsidP="00C16C6D">
      <w:pPr>
        <w:pStyle w:val="ListParagraph"/>
        <w:spacing w:line="240" w:lineRule="auto"/>
        <w:ind w:left="0"/>
        <w:rPr>
          <w:rFonts w:ascii="Times New Roman" w:eastAsia="Times New Roman" w:hAnsi="Times New Roman"/>
          <w:color w:val="000000"/>
          <w:sz w:val="24"/>
          <w:szCs w:val="24"/>
          <w:shd w:val="clear" w:color="auto" w:fill="FFFFFF"/>
        </w:rPr>
      </w:pPr>
    </w:p>
    <w:p w14:paraId="7138E306" w14:textId="77777777" w:rsidR="00C16C6D" w:rsidRPr="0021560F" w:rsidRDefault="00C16C6D" w:rsidP="00C16C6D">
      <w:pPr>
        <w:pStyle w:val="ListParagraph"/>
        <w:spacing w:line="240" w:lineRule="auto"/>
        <w:ind w:left="0"/>
        <w:rPr>
          <w:rFonts w:ascii="Times New Roman" w:eastAsia="Times New Roman" w:hAnsi="Times New Roman"/>
          <w:color w:val="000000"/>
          <w:sz w:val="24"/>
          <w:szCs w:val="24"/>
          <w:shd w:val="clear" w:color="auto" w:fill="FFFFFF"/>
        </w:rPr>
      </w:pPr>
      <w:r w:rsidRPr="0021560F">
        <w:rPr>
          <w:rFonts w:ascii="Times New Roman" w:eastAsia="Times New Roman" w:hAnsi="Times New Roman"/>
          <w:color w:val="000000"/>
          <w:sz w:val="24"/>
          <w:szCs w:val="24"/>
          <w:shd w:val="clear" w:color="auto" w:fill="FFFFFF"/>
        </w:rPr>
        <w:t>The school will investigate every formal complaint (which may be filed by a complainant or by the school’s Title IX Coordinator).  If the alleged conduct does not fall under Title IX, then the school may address the allegations under the school’s own code of conduct and provide supportive measures.</w:t>
      </w:r>
    </w:p>
    <w:p w14:paraId="2E6A4302" w14:textId="77777777" w:rsidR="00C16C6D" w:rsidRPr="0021560F" w:rsidRDefault="00C16C6D" w:rsidP="00C16C6D">
      <w:pPr>
        <w:pStyle w:val="ListParagraph"/>
        <w:spacing w:line="240" w:lineRule="auto"/>
        <w:ind w:left="0"/>
        <w:rPr>
          <w:rFonts w:ascii="Times New Roman" w:eastAsia="Times New Roman" w:hAnsi="Times New Roman"/>
          <w:color w:val="000000"/>
          <w:sz w:val="24"/>
          <w:szCs w:val="24"/>
          <w:shd w:val="clear" w:color="auto" w:fill="FFFFFF"/>
        </w:rPr>
      </w:pPr>
    </w:p>
    <w:p w14:paraId="2A20DCC9" w14:textId="5DF7B994" w:rsidR="00C40E73" w:rsidRPr="00282E07" w:rsidRDefault="00C40E73" w:rsidP="00282E07"/>
    <w:sectPr w:rsidR="00C40E73" w:rsidRPr="00282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1C1"/>
    <w:multiLevelType w:val="hybridMultilevel"/>
    <w:tmpl w:val="29FC2198"/>
    <w:lvl w:ilvl="0" w:tplc="AE3A53D2">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BA6283"/>
    <w:multiLevelType w:val="hybridMultilevel"/>
    <w:tmpl w:val="4534490C"/>
    <w:lvl w:ilvl="0" w:tplc="0666F41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B3C7A8F"/>
    <w:multiLevelType w:val="hybridMultilevel"/>
    <w:tmpl w:val="1A6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40C89"/>
    <w:multiLevelType w:val="hybridMultilevel"/>
    <w:tmpl w:val="CA04A9DA"/>
    <w:lvl w:ilvl="0" w:tplc="0AFCD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3C669C"/>
    <w:multiLevelType w:val="hybridMultilevel"/>
    <w:tmpl w:val="65EA3526"/>
    <w:lvl w:ilvl="0" w:tplc="04090001">
      <w:start w:val="1"/>
      <w:numFmt w:val="bullet"/>
      <w:pStyle w:val="ListNumber5"/>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56496DC9"/>
    <w:multiLevelType w:val="hybridMultilevel"/>
    <w:tmpl w:val="1F14B8B6"/>
    <w:lvl w:ilvl="0" w:tplc="20A0FD9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6824DF8"/>
    <w:multiLevelType w:val="hybridMultilevel"/>
    <w:tmpl w:val="D618F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462FC4"/>
    <w:multiLevelType w:val="hybridMultilevel"/>
    <w:tmpl w:val="17FEE6E8"/>
    <w:lvl w:ilvl="0" w:tplc="45F8BBCC">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7427550F"/>
    <w:multiLevelType w:val="hybridMultilevel"/>
    <w:tmpl w:val="ADAADC8C"/>
    <w:lvl w:ilvl="0" w:tplc="30E2A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383156">
    <w:abstractNumId w:val="3"/>
  </w:num>
  <w:num w:numId="2" w16cid:durableId="1668290017">
    <w:abstractNumId w:val="8"/>
  </w:num>
  <w:num w:numId="3" w16cid:durableId="1250238809">
    <w:abstractNumId w:val="5"/>
  </w:num>
  <w:num w:numId="4" w16cid:durableId="227234067">
    <w:abstractNumId w:val="0"/>
  </w:num>
  <w:num w:numId="5" w16cid:durableId="1454713779">
    <w:abstractNumId w:val="4"/>
  </w:num>
  <w:num w:numId="6" w16cid:durableId="602111465">
    <w:abstractNumId w:val="7"/>
  </w:num>
  <w:num w:numId="7" w16cid:durableId="370500984">
    <w:abstractNumId w:val="1"/>
  </w:num>
  <w:num w:numId="8" w16cid:durableId="493381388">
    <w:abstractNumId w:val="2"/>
  </w:num>
  <w:num w:numId="9" w16cid:durableId="561717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3F9"/>
    <w:rsid w:val="00037705"/>
    <w:rsid w:val="000A02FE"/>
    <w:rsid w:val="000A3809"/>
    <w:rsid w:val="000A506A"/>
    <w:rsid w:val="0012703D"/>
    <w:rsid w:val="00172403"/>
    <w:rsid w:val="001860BF"/>
    <w:rsid w:val="001A1AAB"/>
    <w:rsid w:val="00237F33"/>
    <w:rsid w:val="00242CCD"/>
    <w:rsid w:val="002471BE"/>
    <w:rsid w:val="00251999"/>
    <w:rsid w:val="00282E07"/>
    <w:rsid w:val="00327175"/>
    <w:rsid w:val="00336AFD"/>
    <w:rsid w:val="00342541"/>
    <w:rsid w:val="003A08AA"/>
    <w:rsid w:val="003B3173"/>
    <w:rsid w:val="003B6C0A"/>
    <w:rsid w:val="003D0F46"/>
    <w:rsid w:val="003E1E1A"/>
    <w:rsid w:val="00400436"/>
    <w:rsid w:val="004122E2"/>
    <w:rsid w:val="00467833"/>
    <w:rsid w:val="004952A0"/>
    <w:rsid w:val="004D7D51"/>
    <w:rsid w:val="004E3278"/>
    <w:rsid w:val="0050460D"/>
    <w:rsid w:val="005359BC"/>
    <w:rsid w:val="00595568"/>
    <w:rsid w:val="00597E51"/>
    <w:rsid w:val="005A3C8E"/>
    <w:rsid w:val="00612042"/>
    <w:rsid w:val="006166C5"/>
    <w:rsid w:val="006247D8"/>
    <w:rsid w:val="00640259"/>
    <w:rsid w:val="00654634"/>
    <w:rsid w:val="00687CC7"/>
    <w:rsid w:val="006957B5"/>
    <w:rsid w:val="006A43E9"/>
    <w:rsid w:val="007010BC"/>
    <w:rsid w:val="0076579C"/>
    <w:rsid w:val="007723B3"/>
    <w:rsid w:val="00781C34"/>
    <w:rsid w:val="007A241D"/>
    <w:rsid w:val="008071A0"/>
    <w:rsid w:val="008254A4"/>
    <w:rsid w:val="00831103"/>
    <w:rsid w:val="00854921"/>
    <w:rsid w:val="00877D68"/>
    <w:rsid w:val="008B03F9"/>
    <w:rsid w:val="008D68AB"/>
    <w:rsid w:val="008E2D53"/>
    <w:rsid w:val="008F01DD"/>
    <w:rsid w:val="008F0AFA"/>
    <w:rsid w:val="00944F7E"/>
    <w:rsid w:val="00945007"/>
    <w:rsid w:val="009801CD"/>
    <w:rsid w:val="009C239E"/>
    <w:rsid w:val="009C5278"/>
    <w:rsid w:val="009D24C8"/>
    <w:rsid w:val="00A74948"/>
    <w:rsid w:val="00AC2A83"/>
    <w:rsid w:val="00B37847"/>
    <w:rsid w:val="00BC407F"/>
    <w:rsid w:val="00BC79C6"/>
    <w:rsid w:val="00C156B7"/>
    <w:rsid w:val="00C16C6D"/>
    <w:rsid w:val="00C40E73"/>
    <w:rsid w:val="00C511DD"/>
    <w:rsid w:val="00C866AF"/>
    <w:rsid w:val="00C9376A"/>
    <w:rsid w:val="00C94AAC"/>
    <w:rsid w:val="00CB003B"/>
    <w:rsid w:val="00CB5708"/>
    <w:rsid w:val="00CC1BCE"/>
    <w:rsid w:val="00CC2922"/>
    <w:rsid w:val="00D14023"/>
    <w:rsid w:val="00D41738"/>
    <w:rsid w:val="00D46B98"/>
    <w:rsid w:val="00D61DE4"/>
    <w:rsid w:val="00D83731"/>
    <w:rsid w:val="00DB203D"/>
    <w:rsid w:val="00DC69A6"/>
    <w:rsid w:val="00E2111F"/>
    <w:rsid w:val="00E24200"/>
    <w:rsid w:val="00E5638D"/>
    <w:rsid w:val="00E57007"/>
    <w:rsid w:val="00EE660D"/>
    <w:rsid w:val="00EF39AF"/>
    <w:rsid w:val="00F135FF"/>
    <w:rsid w:val="00F20DA9"/>
    <w:rsid w:val="00F2754E"/>
    <w:rsid w:val="00F377FD"/>
    <w:rsid w:val="00F87DC2"/>
    <w:rsid w:val="00FA4416"/>
    <w:rsid w:val="00FB0ABE"/>
    <w:rsid w:val="00FF2449"/>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B71E"/>
  <w15:chartTrackingRefBased/>
  <w15:docId w15:val="{71FC873E-1C6A-4152-9CB0-651AA4A7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AB"/>
    <w:pPr>
      <w:spacing w:after="0" w:line="12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B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BCE"/>
    <w:rPr>
      <w:rFonts w:ascii="Segoe UI" w:hAnsi="Segoe UI" w:cs="Segoe UI"/>
      <w:sz w:val="18"/>
      <w:szCs w:val="18"/>
    </w:rPr>
  </w:style>
  <w:style w:type="paragraph" w:styleId="ListParagraph">
    <w:name w:val="List Paragraph"/>
    <w:basedOn w:val="Normal"/>
    <w:uiPriority w:val="34"/>
    <w:qFormat/>
    <w:rsid w:val="00CB003B"/>
    <w:pPr>
      <w:ind w:left="720"/>
      <w:contextualSpacing/>
    </w:pPr>
  </w:style>
  <w:style w:type="character" w:styleId="Hyperlink">
    <w:name w:val="Hyperlink"/>
    <w:basedOn w:val="DefaultParagraphFont"/>
    <w:uiPriority w:val="99"/>
    <w:unhideWhenUsed/>
    <w:rsid w:val="00781C34"/>
    <w:rPr>
      <w:color w:val="0563C1" w:themeColor="hyperlink"/>
      <w:u w:val="single"/>
    </w:rPr>
  </w:style>
  <w:style w:type="character" w:styleId="UnresolvedMention">
    <w:name w:val="Unresolved Mention"/>
    <w:basedOn w:val="DefaultParagraphFont"/>
    <w:uiPriority w:val="99"/>
    <w:semiHidden/>
    <w:unhideWhenUsed/>
    <w:rsid w:val="00781C34"/>
    <w:rPr>
      <w:color w:val="605E5C"/>
      <w:shd w:val="clear" w:color="auto" w:fill="E1DFDD"/>
    </w:rPr>
  </w:style>
  <w:style w:type="paragraph" w:customStyle="1" w:styleId="Default">
    <w:name w:val="Default"/>
    <w:rsid w:val="008D68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olicyStyles">
    <w:name w:val="Policy Styles"/>
    <w:basedOn w:val="Normal"/>
    <w:uiPriority w:val="99"/>
    <w:rsid w:val="008D68AB"/>
    <w:pPr>
      <w:tabs>
        <w:tab w:val="left" w:pos="180"/>
        <w:tab w:val="left" w:pos="360"/>
        <w:tab w:val="left" w:pos="540"/>
        <w:tab w:val="left" w:pos="720"/>
        <w:tab w:val="left" w:pos="900"/>
        <w:tab w:val="left" w:pos="1080"/>
        <w:tab w:val="left" w:pos="1260"/>
        <w:tab w:val="left" w:pos="1440"/>
        <w:tab w:val="left" w:pos="1620"/>
        <w:tab w:val="left" w:pos="1800"/>
        <w:tab w:val="left" w:pos="1980"/>
      </w:tabs>
      <w:suppressAutoHyphens/>
      <w:autoSpaceDE w:val="0"/>
      <w:autoSpaceDN w:val="0"/>
      <w:adjustRightInd w:val="0"/>
      <w:spacing w:line="260" w:lineRule="atLeast"/>
      <w:textAlignment w:val="center"/>
    </w:pPr>
    <w:rPr>
      <w:rFonts w:ascii="Times New Roman" w:eastAsia="Times New Roman" w:hAnsi="Times New Roman"/>
      <w:color w:val="000000"/>
      <w:sz w:val="24"/>
      <w:szCs w:val="24"/>
    </w:rPr>
  </w:style>
  <w:style w:type="paragraph" w:styleId="ListNumber5">
    <w:name w:val="List Number 5"/>
    <w:basedOn w:val="Normal"/>
    <w:uiPriority w:val="99"/>
    <w:rsid w:val="00C40E73"/>
    <w:pPr>
      <w:numPr>
        <w:numId w:val="5"/>
      </w:numPr>
      <w:tabs>
        <w:tab w:val="clear" w:pos="1008"/>
        <w:tab w:val="num" w:pos="1800"/>
      </w:tabs>
      <w:spacing w:line="240" w:lineRule="auto"/>
      <w:ind w:left="180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et@falconih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4</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preet@falconihs.com</dc:creator>
  <cp:keywords/>
  <dc:description/>
  <cp:lastModifiedBy>Preet Chahal</cp:lastModifiedBy>
  <cp:revision>96</cp:revision>
  <cp:lastPrinted>2018-10-03T16:38:00Z</cp:lastPrinted>
  <dcterms:created xsi:type="dcterms:W3CDTF">2018-10-03T16:25:00Z</dcterms:created>
  <dcterms:modified xsi:type="dcterms:W3CDTF">2023-05-06T16:52:00Z</dcterms:modified>
</cp:coreProperties>
</file>